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AB11" w14:textId="28D9768C" w:rsidR="000A29D9" w:rsidRDefault="00866AB4" w:rsidP="00866AB4">
      <w:pPr>
        <w:pStyle w:val="Heading1"/>
      </w:pPr>
      <w:r>
        <w:t>CON-CAHS HUB Greenphire Standing Operating Procedures</w:t>
      </w:r>
    </w:p>
    <w:p w14:paraId="39A5A330" w14:textId="22724979" w:rsidR="00866AB4" w:rsidRDefault="00866AB4" w:rsidP="00866AB4"/>
    <w:p w14:paraId="1579630D" w14:textId="31DA69BF" w:rsidR="00866AB4" w:rsidRDefault="00866AB4" w:rsidP="00866AB4">
      <w:pPr>
        <w:pStyle w:val="Heading2"/>
      </w:pPr>
      <w:r>
        <w:t>Pre-Award Actions</w:t>
      </w:r>
    </w:p>
    <w:p w14:paraId="396597C8" w14:textId="597EF7A1" w:rsidR="00E75E7E" w:rsidRDefault="00F458B6" w:rsidP="00866AB4">
      <w:r>
        <w:t xml:space="preserve">Pre-Award </w:t>
      </w:r>
      <w:r w:rsidR="00E75E7E">
        <w:t xml:space="preserve">Grant Manager will inform Faculty members during the proposal process the cost associated with Greenphire. </w:t>
      </w:r>
      <w:r>
        <w:t xml:space="preserve"> The Pre-Award Grant Manager will provide additional information </w:t>
      </w:r>
      <w:r w:rsidR="00D010EF">
        <w:t xml:space="preserve">as requested. </w:t>
      </w:r>
    </w:p>
    <w:p w14:paraId="117EDE7A" w14:textId="77777777" w:rsidR="002109C3" w:rsidRPr="002109C3" w:rsidRDefault="002109C3" w:rsidP="002109C3">
      <w:pPr>
        <w:rPr>
          <w:b/>
          <w:bCs/>
        </w:rPr>
      </w:pPr>
      <w:r w:rsidRPr="002109C3">
        <w:rPr>
          <w:b/>
          <w:bCs/>
        </w:rPr>
        <w:t>What are the costs to the study to use Greenphire?</w:t>
      </w:r>
    </w:p>
    <w:p w14:paraId="4B29B3C7" w14:textId="77777777" w:rsidR="002109C3" w:rsidRPr="002109C3" w:rsidRDefault="002109C3" w:rsidP="002109C3">
      <w:r w:rsidRPr="002109C3">
        <w:t>$3.50 per card and $1.15 per load.</w:t>
      </w:r>
    </w:p>
    <w:p w14:paraId="173195CD" w14:textId="77777777" w:rsidR="00F458B6" w:rsidRDefault="00F458B6" w:rsidP="00866AB4"/>
    <w:p w14:paraId="78261847" w14:textId="223E0B9A" w:rsidR="00866AB4" w:rsidRDefault="00866AB4" w:rsidP="00866AB4">
      <w:pPr>
        <w:pStyle w:val="Heading2"/>
      </w:pPr>
      <w:r>
        <w:t>Post-Award Actions</w:t>
      </w:r>
    </w:p>
    <w:p w14:paraId="7DE1FCF5" w14:textId="36388F3F" w:rsidR="00E75E7E" w:rsidRDefault="00D010EF" w:rsidP="00866AB4">
      <w:r>
        <w:t xml:space="preserve">Post Award </w:t>
      </w:r>
      <w:r w:rsidR="00E75E7E">
        <w:t>Grant Managers will assist faculty with re</w:t>
      </w:r>
      <w:r w:rsidR="004E77C0">
        <w:t>-</w:t>
      </w:r>
      <w:r w:rsidR="00E75E7E">
        <w:t xml:space="preserve">budgeting if needed for Greenphire card expenses. </w:t>
      </w:r>
    </w:p>
    <w:p w14:paraId="5E91BA75" w14:textId="77777777" w:rsidR="00D010EF" w:rsidRPr="00D010EF" w:rsidRDefault="00D010EF" w:rsidP="00D010EF">
      <w:r w:rsidRPr="00D010EF">
        <w:t xml:space="preserve">As of 9/1/20, The ECU Greenphire </w:t>
      </w:r>
      <w:proofErr w:type="spellStart"/>
      <w:r w:rsidRPr="00D010EF">
        <w:t>ClinCard</w:t>
      </w:r>
      <w:proofErr w:type="spellEnd"/>
      <w:r w:rsidRPr="00D010EF">
        <w:t xml:space="preserve"> is to be used to issue payments for research participants receiving over $25 and/or are participating in multiple ECU studies. </w:t>
      </w:r>
    </w:p>
    <w:p w14:paraId="17AAF1E0" w14:textId="77777777" w:rsidR="00D010EF" w:rsidRPr="00D010EF" w:rsidRDefault="00D010EF" w:rsidP="00D010EF">
      <w:pPr>
        <w:pStyle w:val="ListParagraph"/>
        <w:numPr>
          <w:ilvl w:val="0"/>
          <w:numId w:val="5"/>
        </w:numPr>
      </w:pPr>
      <w:r w:rsidRPr="00D010EF">
        <w:t xml:space="preserve">The Greenphire SOP link: </w:t>
      </w:r>
      <w:hyperlink r:id="rId10" w:history="1">
        <w:r w:rsidRPr="00D010EF">
          <w:rPr>
            <w:rStyle w:val="Hyperlink"/>
          </w:rPr>
          <w:t>https://financialservices.ecu.edu/wp-content/pv-uploads/sites/86/2018/05/Greenphire-SOP-Department.pdf</w:t>
        </w:r>
      </w:hyperlink>
    </w:p>
    <w:p w14:paraId="2DB3B47C" w14:textId="755F7FAF" w:rsidR="00D010EF" w:rsidRDefault="00D010EF" w:rsidP="00D010EF">
      <w:r>
        <w:t xml:space="preserve">A Greenphire “exception” is required to utilize another payment </w:t>
      </w:r>
      <w:proofErr w:type="gramStart"/>
      <w:r>
        <w:t>methods</w:t>
      </w:r>
      <w:proofErr w:type="gramEnd"/>
      <w:r>
        <w:t xml:space="preserve"> other than the </w:t>
      </w:r>
      <w:proofErr w:type="spellStart"/>
      <w:r>
        <w:t>ClinCard</w:t>
      </w:r>
      <w:proofErr w:type="spellEnd"/>
      <w:r>
        <w:t xml:space="preserve"> method, which requires approval by the Senior Associate Vice Chancellor, Division of Research, Economic Development and Engagement at ECU, or their designee.</w:t>
      </w:r>
    </w:p>
    <w:p w14:paraId="3DCC960F" w14:textId="01A54FC5" w:rsidR="00D010EF" w:rsidRDefault="00D010EF" w:rsidP="00D010EF">
      <w:pPr>
        <w:pStyle w:val="ListParagraph"/>
        <w:numPr>
          <w:ilvl w:val="0"/>
          <w:numId w:val="4"/>
        </w:numPr>
      </w:pPr>
      <w:r>
        <w:t xml:space="preserve">The ECU Greenphire exception policy link:  </w:t>
      </w:r>
      <w:hyperlink r:id="rId11" w:history="1">
        <w:r w:rsidRPr="00DA7B9E">
          <w:rPr>
            <w:rStyle w:val="Hyperlink"/>
          </w:rPr>
          <w:t>https://financialservices.ecu.edu/wp-content/pv-uploads/sites/86/2018/05/Greenphire-Exception-SOP.doc</w:t>
        </w:r>
      </w:hyperlink>
      <w:r>
        <w:t xml:space="preserve"> </w:t>
      </w:r>
    </w:p>
    <w:p w14:paraId="2B2022CA" w14:textId="77777777" w:rsidR="00866AB4" w:rsidRPr="00866AB4" w:rsidRDefault="00866AB4" w:rsidP="00866AB4">
      <w:r w:rsidRPr="00866AB4">
        <w:rPr>
          <w:b/>
          <w:bCs/>
        </w:rPr>
        <w:t>Step 1:</w:t>
      </w:r>
      <w:r w:rsidRPr="00866AB4">
        <w:t xml:space="preserve"> You will need to update your existing IRB to change method of paying participants to the Greenphire debit card. The Amendment is submitted in </w:t>
      </w:r>
      <w:proofErr w:type="spellStart"/>
      <w:r w:rsidRPr="00866AB4">
        <w:t>ePIRATE</w:t>
      </w:r>
      <w:proofErr w:type="spellEnd"/>
      <w:r w:rsidRPr="00866AB4">
        <w:t xml:space="preserve"> to update the IRB application and informed consent document(s). The modified, approved, “stamped” consent document(s) will be required as part of the Greenphire request process. Please contact the IRB administrator for your study or </w:t>
      </w:r>
      <w:hyperlink r:id="rId12" w:tgtFrame="_blank" w:tooltip="mailto:umcirb@ecu.edu" w:history="1">
        <w:r w:rsidRPr="00866AB4">
          <w:rPr>
            <w:rStyle w:val="Hyperlink"/>
          </w:rPr>
          <w:t>UMCIRB@ecu.edu</w:t>
        </w:r>
      </w:hyperlink>
      <w:r w:rsidRPr="00866AB4">
        <w:t xml:space="preserve"> if you have any questions about the Amendment process.</w:t>
      </w:r>
    </w:p>
    <w:p w14:paraId="6BF02CCD" w14:textId="05085AB6" w:rsidR="00866AB4" w:rsidRPr="00866AB4" w:rsidRDefault="00866AB4" w:rsidP="00866AB4">
      <w:r w:rsidRPr="00866AB4">
        <w:rPr>
          <w:b/>
          <w:bCs/>
        </w:rPr>
        <w:t>Step 2:</w:t>
      </w:r>
      <w:r w:rsidR="00D010EF">
        <w:rPr>
          <w:b/>
          <w:bCs/>
        </w:rPr>
        <w:t xml:space="preserve"> </w:t>
      </w:r>
      <w:r w:rsidR="00D010EF" w:rsidRPr="00D010EF">
        <w:t>Complete</w:t>
      </w:r>
      <w:r w:rsidRPr="00866AB4">
        <w:t xml:space="preserve"> the Greenphire Study Voucher Authorization Form</w:t>
      </w:r>
      <w:r w:rsidR="00CD7C69">
        <w:t xml:space="preserve"> (pdf)</w:t>
      </w:r>
      <w:r w:rsidRPr="00866AB4">
        <w:t xml:space="preserve">. Please return to </w:t>
      </w:r>
      <w:r w:rsidR="00CD7C69">
        <w:t>grant manager</w:t>
      </w:r>
      <w:r w:rsidRPr="00866AB4">
        <w:t xml:space="preserve"> after you have your department chair sign off. </w:t>
      </w:r>
    </w:p>
    <w:p w14:paraId="77F39CC5" w14:textId="1B3AC7B7" w:rsidR="00866AB4" w:rsidRPr="00866AB4" w:rsidRDefault="00D010EF" w:rsidP="00866AB4">
      <w:r>
        <w:t>Prepare the</w:t>
      </w:r>
      <w:r w:rsidR="00866AB4" w:rsidRPr="00866AB4">
        <w:t xml:space="preserve"> study payment schedule</w:t>
      </w:r>
      <w:r>
        <w:t xml:space="preserve"> (see attachment A)</w:t>
      </w:r>
      <w:r w:rsidR="00866AB4" w:rsidRPr="00866AB4">
        <w:t>. You will upload th</w:t>
      </w:r>
      <w:r w:rsidR="00866AB4">
        <w:t>e</w:t>
      </w:r>
      <w:r w:rsidR="00866AB4" w:rsidRPr="00866AB4">
        <w:t xml:space="preserve"> completed document in the Team Dynamix Ticket.</w:t>
      </w:r>
    </w:p>
    <w:p w14:paraId="2729421A" w14:textId="64F0FC16" w:rsidR="00866AB4" w:rsidRPr="00866AB4" w:rsidRDefault="00866AB4" w:rsidP="00866AB4">
      <w:r w:rsidRPr="00866AB4">
        <w:rPr>
          <w:b/>
          <w:bCs/>
        </w:rPr>
        <w:t>Step 3</w:t>
      </w:r>
      <w:r w:rsidRPr="00866AB4">
        <w:t>: Submit a</w:t>
      </w:r>
      <w:r>
        <w:t>n</w:t>
      </w:r>
      <w:r w:rsidRPr="00866AB4">
        <w:t xml:space="preserve"> AP</w:t>
      </w:r>
      <w:r w:rsidRPr="00866AB4">
        <w:rPr>
          <w:b/>
          <w:bCs/>
          <w:u w:val="single"/>
        </w:rPr>
        <w:t xml:space="preserve"> </w:t>
      </w:r>
      <w:r w:rsidRPr="00866AB4">
        <w:rPr>
          <w:b/>
          <w:bCs/>
        </w:rPr>
        <w:t>Greenphire Team Dynamix Ticket to “Set Up a New Study”:</w:t>
      </w:r>
      <w:r w:rsidRPr="00866AB4">
        <w:rPr>
          <w:b/>
          <w:bCs/>
          <w:u w:val="single"/>
        </w:rPr>
        <w:t xml:space="preserve"> </w:t>
      </w:r>
      <w:r w:rsidRPr="00866AB4">
        <w:t>The requesting</w:t>
      </w:r>
    </w:p>
    <w:p w14:paraId="74D9AE31" w14:textId="77777777" w:rsidR="00866AB4" w:rsidRPr="00866AB4" w:rsidRDefault="00866AB4" w:rsidP="00866AB4">
      <w:r w:rsidRPr="00866AB4">
        <w:t xml:space="preserve">department should complete the </w:t>
      </w:r>
      <w:r w:rsidRPr="00866AB4">
        <w:rPr>
          <w:i/>
          <w:iCs/>
        </w:rPr>
        <w:t xml:space="preserve">Accounts Payable Greenphire Team Dynamix Ticket request to </w:t>
      </w:r>
      <w:r w:rsidRPr="00866AB4">
        <w:t>initiate the process.</w:t>
      </w:r>
    </w:p>
    <w:p w14:paraId="5DFC8A55" w14:textId="77777777" w:rsidR="00866AB4" w:rsidRPr="00866AB4" w:rsidRDefault="00D04642" w:rsidP="00866AB4">
      <w:hyperlink r:id="rId13" w:history="1">
        <w:r w:rsidR="00866AB4" w:rsidRPr="00866AB4">
          <w:rPr>
            <w:rStyle w:val="Hyperlink"/>
          </w:rPr>
          <w:t>https://ecu.teamdynamix.com/TDClient/Requests/ServiceDet?ID=31599</w:t>
        </w:r>
      </w:hyperlink>
      <w:r w:rsidR="00866AB4" w:rsidRPr="00866AB4">
        <w:t xml:space="preserve"> </w:t>
      </w:r>
    </w:p>
    <w:p w14:paraId="3C53B486" w14:textId="77777777" w:rsidR="00866AB4" w:rsidRPr="00866AB4" w:rsidRDefault="00866AB4" w:rsidP="00866AB4">
      <w:r w:rsidRPr="00866AB4">
        <w:t>The following information is required to set up a new study in Greenphire Team Dynamix:</w:t>
      </w:r>
    </w:p>
    <w:p w14:paraId="45AB9DA0" w14:textId="77777777" w:rsidR="004E77C0" w:rsidRDefault="00866AB4" w:rsidP="00866AB4">
      <w:pPr>
        <w:numPr>
          <w:ilvl w:val="0"/>
          <w:numId w:val="1"/>
        </w:numPr>
      </w:pPr>
      <w:r w:rsidRPr="00866AB4">
        <w:lastRenderedPageBreak/>
        <w:t xml:space="preserve">Date needed </w:t>
      </w:r>
    </w:p>
    <w:p w14:paraId="72C0E417" w14:textId="77777777" w:rsidR="004E77C0" w:rsidRDefault="00866AB4" w:rsidP="00866AB4">
      <w:pPr>
        <w:numPr>
          <w:ilvl w:val="0"/>
          <w:numId w:val="1"/>
        </w:numPr>
      </w:pPr>
      <w:r w:rsidRPr="00866AB4">
        <w:t xml:space="preserve">Study IRB # </w:t>
      </w:r>
    </w:p>
    <w:p w14:paraId="724143C1" w14:textId="7ECBCDE6" w:rsidR="00866AB4" w:rsidRPr="00866AB4" w:rsidRDefault="00866AB4" w:rsidP="00866AB4">
      <w:pPr>
        <w:numPr>
          <w:ilvl w:val="0"/>
          <w:numId w:val="1"/>
        </w:numPr>
      </w:pPr>
      <w:r w:rsidRPr="00866AB4">
        <w:t>FOAP</w:t>
      </w:r>
    </w:p>
    <w:p w14:paraId="4CD14377" w14:textId="77777777" w:rsidR="00866AB4" w:rsidRPr="00866AB4" w:rsidRDefault="00866AB4" w:rsidP="00866AB4">
      <w:pPr>
        <w:numPr>
          <w:ilvl w:val="0"/>
          <w:numId w:val="1"/>
        </w:numPr>
      </w:pPr>
      <w:r w:rsidRPr="00866AB4">
        <w:t>Study Sponsor</w:t>
      </w:r>
    </w:p>
    <w:p w14:paraId="13160BEB" w14:textId="77777777" w:rsidR="00866AB4" w:rsidRPr="00866AB4" w:rsidRDefault="00866AB4" w:rsidP="00866AB4">
      <w:pPr>
        <w:numPr>
          <w:ilvl w:val="0"/>
          <w:numId w:val="1"/>
        </w:numPr>
      </w:pPr>
      <w:r w:rsidRPr="00866AB4">
        <w:t>Study Budget</w:t>
      </w:r>
    </w:p>
    <w:p w14:paraId="4FD3E81F" w14:textId="77777777" w:rsidR="00866AB4" w:rsidRPr="00866AB4" w:rsidRDefault="00866AB4" w:rsidP="00866AB4">
      <w:pPr>
        <w:numPr>
          <w:ilvl w:val="0"/>
          <w:numId w:val="1"/>
        </w:numPr>
      </w:pPr>
      <w:r w:rsidRPr="00866AB4">
        <w:t>Will mileage be reimbursed?</w:t>
      </w:r>
    </w:p>
    <w:p w14:paraId="0F7CDE7B" w14:textId="77777777" w:rsidR="00866AB4" w:rsidRPr="00866AB4" w:rsidRDefault="00866AB4" w:rsidP="00866AB4">
      <w:pPr>
        <w:numPr>
          <w:ilvl w:val="0"/>
          <w:numId w:val="1"/>
        </w:numPr>
      </w:pPr>
      <w:r w:rsidRPr="00866AB4">
        <w:t>PI contact information</w:t>
      </w:r>
    </w:p>
    <w:p w14:paraId="446FD9C4" w14:textId="77777777" w:rsidR="00866AB4" w:rsidRPr="00866AB4" w:rsidRDefault="00866AB4" w:rsidP="00866AB4">
      <w:pPr>
        <w:numPr>
          <w:ilvl w:val="0"/>
          <w:numId w:val="1"/>
        </w:numPr>
      </w:pPr>
      <w:r w:rsidRPr="00866AB4">
        <w:t>Study Coordinator(s) contact information</w:t>
      </w:r>
    </w:p>
    <w:p w14:paraId="1202202E" w14:textId="77777777" w:rsidR="00866AB4" w:rsidRPr="00866AB4" w:rsidRDefault="00866AB4" w:rsidP="00866AB4">
      <w:pPr>
        <w:numPr>
          <w:ilvl w:val="0"/>
          <w:numId w:val="1"/>
        </w:numPr>
      </w:pPr>
      <w:r w:rsidRPr="00866AB4">
        <w:t>Approver contact information</w:t>
      </w:r>
    </w:p>
    <w:p w14:paraId="76992E5E" w14:textId="77777777" w:rsidR="00866AB4" w:rsidRPr="00866AB4" w:rsidRDefault="00866AB4" w:rsidP="00866AB4">
      <w:pPr>
        <w:numPr>
          <w:ilvl w:val="0"/>
          <w:numId w:val="1"/>
        </w:numPr>
      </w:pPr>
      <w:r w:rsidRPr="00866AB4">
        <w:t># of cards needed for first 90 days</w:t>
      </w:r>
    </w:p>
    <w:p w14:paraId="6D94CC0C" w14:textId="77777777" w:rsidR="00866AB4" w:rsidRPr="00866AB4" w:rsidRDefault="00866AB4" w:rsidP="00866AB4">
      <w:pPr>
        <w:numPr>
          <w:ilvl w:val="0"/>
          <w:numId w:val="1"/>
        </w:numPr>
      </w:pPr>
      <w:r w:rsidRPr="00866AB4">
        <w:t># of cards needed for life of study</w:t>
      </w:r>
    </w:p>
    <w:p w14:paraId="0064EAF7" w14:textId="01C59A2F" w:rsidR="00866AB4" w:rsidRPr="00866AB4" w:rsidRDefault="00866AB4" w:rsidP="00866AB4">
      <w:pPr>
        <w:numPr>
          <w:ilvl w:val="0"/>
          <w:numId w:val="1"/>
        </w:numPr>
      </w:pPr>
      <w:r w:rsidRPr="00866AB4">
        <w:t>Attachments: Attach the approved Study Voucher Authorization Form to</w:t>
      </w:r>
      <w:r>
        <w:t xml:space="preserve"> Dynamix </w:t>
      </w:r>
      <w:r w:rsidRPr="00866AB4">
        <w:t>ticket; this will include the approved ICF and payment schedule</w:t>
      </w:r>
      <w:r w:rsidR="00D010EF">
        <w:t xml:space="preserve"> (</w:t>
      </w:r>
      <w:r w:rsidR="00D010EF" w:rsidRPr="00D010EF">
        <w:rPr>
          <w:b/>
          <w:bCs/>
        </w:rPr>
        <w:t>see attachment A</w:t>
      </w:r>
      <w:r w:rsidR="00D010EF">
        <w:t>)</w:t>
      </w:r>
      <w:r w:rsidRPr="00866AB4">
        <w:t>.</w:t>
      </w:r>
    </w:p>
    <w:p w14:paraId="3A96A9EC" w14:textId="64E7D726" w:rsidR="00866AB4" w:rsidRDefault="00866AB4" w:rsidP="00866AB4">
      <w:r w:rsidRPr="00866AB4">
        <w:t> </w:t>
      </w:r>
    </w:p>
    <w:p w14:paraId="64726B50" w14:textId="77777777" w:rsidR="00D010EF" w:rsidRPr="00866AB4" w:rsidRDefault="00D010EF" w:rsidP="00D010EF">
      <w:r>
        <w:t xml:space="preserve">Please refer to </w:t>
      </w:r>
      <w:hyperlink r:id="rId14" w:history="1">
        <w:r w:rsidRPr="00835E64">
          <w:rPr>
            <w:rStyle w:val="Hyperlink"/>
          </w:rPr>
          <w:t>https://financialservices.ecu.edu/greenphire/</w:t>
        </w:r>
      </w:hyperlink>
      <w:r>
        <w:t xml:space="preserve">  for more information regarding Greenphire. </w:t>
      </w:r>
    </w:p>
    <w:p w14:paraId="2D35C178" w14:textId="024BEB52" w:rsidR="00883B31" w:rsidRDefault="00883B31" w:rsidP="00866AB4"/>
    <w:p w14:paraId="358F4A48" w14:textId="273B20BF" w:rsidR="00883B31" w:rsidRDefault="00883B31" w:rsidP="00866AB4"/>
    <w:p w14:paraId="22640B11" w14:textId="77777777" w:rsidR="00D010EF" w:rsidRDefault="00D010EF" w:rsidP="00866AB4"/>
    <w:p w14:paraId="033B0383" w14:textId="0A027091" w:rsidR="00883B31" w:rsidRDefault="00883B31" w:rsidP="00866AB4"/>
    <w:p w14:paraId="1AA51218" w14:textId="49B3DBA8" w:rsidR="00883B31" w:rsidRDefault="00883B31" w:rsidP="00866AB4"/>
    <w:p w14:paraId="13FE886C" w14:textId="26C464DD" w:rsidR="00883B31" w:rsidRDefault="00883B31" w:rsidP="00866AB4"/>
    <w:p w14:paraId="575E2CA7" w14:textId="52E3EF9D" w:rsidR="00883B31" w:rsidRDefault="00883B31" w:rsidP="00866AB4"/>
    <w:p w14:paraId="0D6C37EC" w14:textId="0BAA2311" w:rsidR="00883B31" w:rsidRDefault="00883B31" w:rsidP="00866AB4"/>
    <w:p w14:paraId="190FFDD9" w14:textId="158A29ED" w:rsidR="00883B31" w:rsidRDefault="00883B31" w:rsidP="00866AB4"/>
    <w:p w14:paraId="7077367F" w14:textId="28729854" w:rsidR="00883B31" w:rsidRDefault="00883B31" w:rsidP="00866AB4"/>
    <w:p w14:paraId="4F4AA176" w14:textId="7D2108A0" w:rsidR="00883B31" w:rsidRDefault="00883B31" w:rsidP="00866AB4"/>
    <w:p w14:paraId="4519D7FD" w14:textId="77777777" w:rsidR="00883B31" w:rsidRPr="00866AB4" w:rsidRDefault="00883B31" w:rsidP="00866AB4"/>
    <w:p w14:paraId="6BC9F10B" w14:textId="19E2BF8E" w:rsidR="00883B31" w:rsidRDefault="00D010EF" w:rsidP="00883B31">
      <w:pPr>
        <w:pStyle w:val="Heading3"/>
      </w:pPr>
      <w:r>
        <w:lastRenderedPageBreak/>
        <w:t xml:space="preserve">Attachment A: </w:t>
      </w:r>
      <w:r w:rsidR="00883B31">
        <w:t xml:space="preserve">Sample Payment Schedule </w:t>
      </w:r>
    </w:p>
    <w:p w14:paraId="06C38F5B" w14:textId="175F5946" w:rsidR="00883B31" w:rsidRDefault="00883B31" w:rsidP="00866AB4"/>
    <w:p w14:paraId="3FF08349" w14:textId="6E62C539" w:rsidR="00883B31" w:rsidRPr="00866AB4" w:rsidRDefault="00883B31" w:rsidP="00866AB4">
      <w:r w:rsidRPr="00883B31">
        <w:rPr>
          <w:noProof/>
        </w:rPr>
        <w:drawing>
          <wp:inline distT="0" distB="0" distL="0" distR="0" wp14:anchorId="5E3503EE" wp14:editId="32E4B4C7">
            <wp:extent cx="3534268" cy="47822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4268" cy="4782217"/>
                    </a:xfrm>
                    <a:prstGeom prst="rect">
                      <a:avLst/>
                    </a:prstGeom>
                  </pic:spPr>
                </pic:pic>
              </a:graphicData>
            </a:graphic>
          </wp:inline>
        </w:drawing>
      </w:r>
    </w:p>
    <w:sectPr w:rsidR="00883B31" w:rsidRPr="00866AB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5273" w14:textId="77777777" w:rsidR="000E4310" w:rsidRDefault="000E4310" w:rsidP="000E4310">
      <w:pPr>
        <w:spacing w:after="0" w:line="240" w:lineRule="auto"/>
      </w:pPr>
      <w:r>
        <w:separator/>
      </w:r>
    </w:p>
  </w:endnote>
  <w:endnote w:type="continuationSeparator" w:id="0">
    <w:p w14:paraId="13195C61" w14:textId="77777777" w:rsidR="000E4310" w:rsidRDefault="000E4310" w:rsidP="000E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E895" w14:textId="2B4DD2D4" w:rsidR="000E4310" w:rsidRDefault="000E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AB0D" w14:textId="77777777" w:rsidR="000E4310" w:rsidRDefault="000E4310" w:rsidP="000E4310">
      <w:pPr>
        <w:spacing w:after="0" w:line="240" w:lineRule="auto"/>
      </w:pPr>
      <w:r>
        <w:separator/>
      </w:r>
    </w:p>
  </w:footnote>
  <w:footnote w:type="continuationSeparator" w:id="0">
    <w:p w14:paraId="01A6B01C" w14:textId="77777777" w:rsidR="000E4310" w:rsidRDefault="000E4310" w:rsidP="000E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2625" w14:textId="38FE29AD" w:rsidR="000E4310" w:rsidRDefault="00D04642">
    <w:pPr>
      <w:pStyle w:val="Header"/>
    </w:pPr>
    <w:r>
      <w:t>Greenphire SOP</w:t>
    </w:r>
    <w:r>
      <w:tab/>
    </w:r>
    <w:r>
      <w:tab/>
      <w:t>Published 2/22/2021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1540" w:hanging="360"/>
      </w:pPr>
      <w:rPr>
        <w:rFonts w:ascii="Courier New" w:hAnsi="Courier New" w:cs="Courier New"/>
        <w:b w:val="0"/>
        <w:bCs w:val="0"/>
        <w:sz w:val="28"/>
        <w:szCs w:val="28"/>
      </w:rPr>
    </w:lvl>
    <w:lvl w:ilvl="1">
      <w:numFmt w:val="bullet"/>
      <w:lvlText w:val="•"/>
      <w:lvlJc w:val="left"/>
      <w:pPr>
        <w:ind w:left="2412" w:hanging="360"/>
      </w:pPr>
    </w:lvl>
    <w:lvl w:ilvl="2">
      <w:numFmt w:val="bullet"/>
      <w:lvlText w:val="•"/>
      <w:lvlJc w:val="left"/>
      <w:pPr>
        <w:ind w:left="3284" w:hanging="360"/>
      </w:pPr>
    </w:lvl>
    <w:lvl w:ilvl="3">
      <w:numFmt w:val="bullet"/>
      <w:lvlText w:val="•"/>
      <w:lvlJc w:val="left"/>
      <w:pPr>
        <w:ind w:left="4156" w:hanging="360"/>
      </w:pPr>
    </w:lvl>
    <w:lvl w:ilvl="4">
      <w:numFmt w:val="bullet"/>
      <w:lvlText w:val="•"/>
      <w:lvlJc w:val="left"/>
      <w:pPr>
        <w:ind w:left="5028" w:hanging="360"/>
      </w:pPr>
    </w:lvl>
    <w:lvl w:ilvl="5">
      <w:numFmt w:val="bullet"/>
      <w:lvlText w:val="•"/>
      <w:lvlJc w:val="left"/>
      <w:pPr>
        <w:ind w:left="5900" w:hanging="360"/>
      </w:pPr>
    </w:lvl>
    <w:lvl w:ilvl="6">
      <w:numFmt w:val="bullet"/>
      <w:lvlText w:val="•"/>
      <w:lvlJc w:val="left"/>
      <w:pPr>
        <w:ind w:left="6772" w:hanging="360"/>
      </w:pPr>
    </w:lvl>
    <w:lvl w:ilvl="7">
      <w:numFmt w:val="bullet"/>
      <w:lvlText w:val="•"/>
      <w:lvlJc w:val="left"/>
      <w:pPr>
        <w:ind w:left="7644" w:hanging="360"/>
      </w:pPr>
    </w:lvl>
    <w:lvl w:ilvl="8">
      <w:numFmt w:val="bullet"/>
      <w:lvlText w:val="•"/>
      <w:lvlJc w:val="left"/>
      <w:pPr>
        <w:ind w:left="8516" w:hanging="360"/>
      </w:pPr>
    </w:lvl>
  </w:abstractNum>
  <w:abstractNum w:abstractNumId="1" w15:restartNumberingAfterBreak="0">
    <w:nsid w:val="049613B4"/>
    <w:multiLevelType w:val="hybridMultilevel"/>
    <w:tmpl w:val="44E43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4A4724"/>
    <w:multiLevelType w:val="hybridMultilevel"/>
    <w:tmpl w:val="C86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40CA9"/>
    <w:multiLevelType w:val="hybridMultilevel"/>
    <w:tmpl w:val="B05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B4"/>
    <w:rsid w:val="000A29D9"/>
    <w:rsid w:val="000E4310"/>
    <w:rsid w:val="001D4A3D"/>
    <w:rsid w:val="002109C3"/>
    <w:rsid w:val="003E55C7"/>
    <w:rsid w:val="004A357C"/>
    <w:rsid w:val="004E77C0"/>
    <w:rsid w:val="006C418E"/>
    <w:rsid w:val="00866AB4"/>
    <w:rsid w:val="00883B31"/>
    <w:rsid w:val="00C11671"/>
    <w:rsid w:val="00CD7C69"/>
    <w:rsid w:val="00D010EF"/>
    <w:rsid w:val="00D04642"/>
    <w:rsid w:val="00E75E7E"/>
    <w:rsid w:val="00F43BC4"/>
    <w:rsid w:val="00F4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D3143"/>
  <w15:chartTrackingRefBased/>
  <w15:docId w15:val="{79B4A37B-66FF-4740-BB36-D1EB155E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A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B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AB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66A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6AB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66AB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66A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AB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66AB4"/>
    <w:rPr>
      <w:i/>
      <w:iCs/>
    </w:rPr>
  </w:style>
  <w:style w:type="character" w:styleId="Hyperlink">
    <w:name w:val="Hyperlink"/>
    <w:basedOn w:val="DefaultParagraphFont"/>
    <w:uiPriority w:val="99"/>
    <w:unhideWhenUsed/>
    <w:rsid w:val="00866AB4"/>
    <w:rPr>
      <w:color w:val="0563C1" w:themeColor="hyperlink"/>
      <w:u w:val="single"/>
    </w:rPr>
  </w:style>
  <w:style w:type="character" w:styleId="UnresolvedMention">
    <w:name w:val="Unresolved Mention"/>
    <w:basedOn w:val="DefaultParagraphFont"/>
    <w:uiPriority w:val="99"/>
    <w:semiHidden/>
    <w:unhideWhenUsed/>
    <w:rsid w:val="00866AB4"/>
    <w:rPr>
      <w:color w:val="605E5C"/>
      <w:shd w:val="clear" w:color="auto" w:fill="E1DFDD"/>
    </w:rPr>
  </w:style>
  <w:style w:type="paragraph" w:styleId="Header">
    <w:name w:val="header"/>
    <w:basedOn w:val="Normal"/>
    <w:link w:val="HeaderChar"/>
    <w:uiPriority w:val="99"/>
    <w:unhideWhenUsed/>
    <w:rsid w:val="000E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10"/>
  </w:style>
  <w:style w:type="paragraph" w:styleId="Footer">
    <w:name w:val="footer"/>
    <w:basedOn w:val="Normal"/>
    <w:link w:val="FooterChar"/>
    <w:uiPriority w:val="99"/>
    <w:unhideWhenUsed/>
    <w:rsid w:val="000E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10"/>
  </w:style>
  <w:style w:type="character" w:customStyle="1" w:styleId="Heading3Char">
    <w:name w:val="Heading 3 Char"/>
    <w:basedOn w:val="DefaultParagraphFont"/>
    <w:link w:val="Heading3"/>
    <w:uiPriority w:val="9"/>
    <w:rsid w:val="00883B3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010EF"/>
    <w:rPr>
      <w:color w:val="954F72" w:themeColor="followedHyperlink"/>
      <w:u w:val="single"/>
    </w:rPr>
  </w:style>
  <w:style w:type="paragraph" w:styleId="ListParagraph">
    <w:name w:val="List Paragraph"/>
    <w:basedOn w:val="Normal"/>
    <w:uiPriority w:val="34"/>
    <w:qFormat/>
    <w:rsid w:val="00D0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07135">
      <w:bodyDiv w:val="1"/>
      <w:marLeft w:val="0"/>
      <w:marRight w:val="0"/>
      <w:marTop w:val="0"/>
      <w:marBottom w:val="0"/>
      <w:divBdr>
        <w:top w:val="none" w:sz="0" w:space="0" w:color="auto"/>
        <w:left w:val="none" w:sz="0" w:space="0" w:color="auto"/>
        <w:bottom w:val="none" w:sz="0" w:space="0" w:color="auto"/>
        <w:right w:val="none" w:sz="0" w:space="0" w:color="auto"/>
      </w:divBdr>
    </w:div>
    <w:div w:id="951981852">
      <w:bodyDiv w:val="1"/>
      <w:marLeft w:val="0"/>
      <w:marRight w:val="0"/>
      <w:marTop w:val="0"/>
      <w:marBottom w:val="0"/>
      <w:divBdr>
        <w:top w:val="none" w:sz="0" w:space="0" w:color="auto"/>
        <w:left w:val="none" w:sz="0" w:space="0" w:color="auto"/>
        <w:bottom w:val="none" w:sz="0" w:space="0" w:color="auto"/>
        <w:right w:val="none" w:sz="0" w:space="0" w:color="auto"/>
      </w:divBdr>
    </w:div>
    <w:div w:id="1236208842">
      <w:bodyDiv w:val="1"/>
      <w:marLeft w:val="0"/>
      <w:marRight w:val="0"/>
      <w:marTop w:val="0"/>
      <w:marBottom w:val="0"/>
      <w:divBdr>
        <w:top w:val="none" w:sz="0" w:space="0" w:color="auto"/>
        <w:left w:val="none" w:sz="0" w:space="0" w:color="auto"/>
        <w:bottom w:val="none" w:sz="0" w:space="0" w:color="auto"/>
        <w:right w:val="none" w:sz="0" w:space="0" w:color="auto"/>
      </w:divBdr>
    </w:div>
    <w:div w:id="1693414607">
      <w:bodyDiv w:val="1"/>
      <w:marLeft w:val="0"/>
      <w:marRight w:val="0"/>
      <w:marTop w:val="0"/>
      <w:marBottom w:val="0"/>
      <w:divBdr>
        <w:top w:val="none" w:sz="0" w:space="0" w:color="auto"/>
        <w:left w:val="none" w:sz="0" w:space="0" w:color="auto"/>
        <w:bottom w:val="none" w:sz="0" w:space="0" w:color="auto"/>
        <w:right w:val="none" w:sz="0" w:space="0" w:color="auto"/>
      </w:divBdr>
    </w:div>
    <w:div w:id="1872496277">
      <w:bodyDiv w:val="1"/>
      <w:marLeft w:val="0"/>
      <w:marRight w:val="0"/>
      <w:marTop w:val="0"/>
      <w:marBottom w:val="0"/>
      <w:divBdr>
        <w:top w:val="none" w:sz="0" w:space="0" w:color="auto"/>
        <w:left w:val="none" w:sz="0" w:space="0" w:color="auto"/>
        <w:bottom w:val="none" w:sz="0" w:space="0" w:color="auto"/>
        <w:right w:val="none" w:sz="0" w:space="0" w:color="auto"/>
      </w:divBdr>
      <w:divsChild>
        <w:div w:id="291986792">
          <w:marLeft w:val="0"/>
          <w:marRight w:val="0"/>
          <w:marTop w:val="0"/>
          <w:marBottom w:val="0"/>
          <w:divBdr>
            <w:top w:val="none" w:sz="0" w:space="0" w:color="auto"/>
            <w:left w:val="none" w:sz="0" w:space="0" w:color="auto"/>
            <w:bottom w:val="none" w:sz="0" w:space="0" w:color="auto"/>
            <w:right w:val="none" w:sz="0" w:space="0" w:color="auto"/>
          </w:divBdr>
        </w:div>
      </w:divsChild>
    </w:div>
    <w:div w:id="1878393964">
      <w:bodyDiv w:val="1"/>
      <w:marLeft w:val="0"/>
      <w:marRight w:val="0"/>
      <w:marTop w:val="0"/>
      <w:marBottom w:val="0"/>
      <w:divBdr>
        <w:top w:val="none" w:sz="0" w:space="0" w:color="auto"/>
        <w:left w:val="none" w:sz="0" w:space="0" w:color="auto"/>
        <w:bottom w:val="none" w:sz="0" w:space="0" w:color="auto"/>
        <w:right w:val="none" w:sz="0" w:space="0" w:color="auto"/>
      </w:divBdr>
      <w:divsChild>
        <w:div w:id="1278020972">
          <w:marLeft w:val="0"/>
          <w:marRight w:val="0"/>
          <w:marTop w:val="0"/>
          <w:marBottom w:val="0"/>
          <w:divBdr>
            <w:top w:val="none" w:sz="0" w:space="0" w:color="auto"/>
            <w:left w:val="none" w:sz="0" w:space="0" w:color="auto"/>
            <w:bottom w:val="none" w:sz="0" w:space="0" w:color="auto"/>
            <w:right w:val="none" w:sz="0" w:space="0" w:color="auto"/>
          </w:divBdr>
        </w:div>
      </w:divsChild>
    </w:div>
    <w:div w:id="19746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u.teamdynamix.com/TDClient/Requests/ServiceDet?ID=315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MCIRB@ec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ialservices.ecu.edu/wp-content/pv-uploads/sites/86/2018/05/Greenphire-Exception-SOP.doc"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financialservices.ecu.edu/wp-content/pv-uploads/sites/86/2018/05/Greenphire-SOP-Departmen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ancialservices.ecu.edu/greenp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7FE4AEB221408C0EF479F7BE0A9D" ma:contentTypeVersion="11" ma:contentTypeDescription="Create a new document." ma:contentTypeScope="" ma:versionID="ba604e65eea6db5e4ae5c1ea5eba48f1">
  <xsd:schema xmlns:xsd="http://www.w3.org/2001/XMLSchema" xmlns:xs="http://www.w3.org/2001/XMLSchema" xmlns:p="http://schemas.microsoft.com/office/2006/metadata/properties" xmlns:ns3="efa5e2c1-d1cb-4a45-865c-084a4f8cefd6" xmlns:ns4="6d0ed52c-eaf3-40a1-bddd-55b3585055a5" targetNamespace="http://schemas.microsoft.com/office/2006/metadata/properties" ma:root="true" ma:fieldsID="72fd56e31e56df045a0576d0d4fd1547" ns3:_="" ns4:_="">
    <xsd:import namespace="efa5e2c1-d1cb-4a45-865c-084a4f8cefd6"/>
    <xsd:import namespace="6d0ed52c-eaf3-40a1-bddd-55b3585055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5e2c1-d1cb-4a45-865c-084a4f8cef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ed52c-eaf3-40a1-bddd-55b358505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42A80-D6D4-424E-870B-2E07F32A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5e2c1-d1cb-4a45-865c-084a4f8cefd6"/>
    <ds:schemaRef ds:uri="6d0ed52c-eaf3-40a1-bddd-55b358505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517AB-AD3F-48F4-9991-7189462CB65B}">
  <ds:schemaRefs>
    <ds:schemaRef ds:uri="http://schemas.microsoft.com/sharepoint/v3/contenttype/forms"/>
  </ds:schemaRefs>
</ds:datastoreItem>
</file>

<file path=customXml/itemProps3.xml><?xml version="1.0" encoding="utf-8"?>
<ds:datastoreItem xmlns:ds="http://schemas.openxmlformats.org/officeDocument/2006/customXml" ds:itemID="{1B918784-6BAE-444D-814E-C0EA40BED5DC}">
  <ds:schemaRefs>
    <ds:schemaRef ds:uri="6d0ed52c-eaf3-40a1-bddd-55b3585055a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fa5e2c1-d1cb-4a45-865c-084a4f8cef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Sahadeo, Latoya</dc:creator>
  <cp:keywords/>
  <dc:description/>
  <cp:lastModifiedBy>Sahadeo, Latoya</cp:lastModifiedBy>
  <cp:revision>2</cp:revision>
  <dcterms:created xsi:type="dcterms:W3CDTF">2021-02-24T21:34:00Z</dcterms:created>
  <dcterms:modified xsi:type="dcterms:W3CDTF">2021-02-24T21:34:00Z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0x010100F72F7FE4AEB221408C0EF479F7BE0A9D</vt:lpwstr>
  </property>
</Properties>
</file>